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61EE0765" w:rsidR="00E66388" w:rsidRDefault="00916408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bookmarkStart w:id="0" w:name="_Hlk117763656"/>
      <w:bookmarkEnd w:id="0"/>
      <w:r>
        <w:rPr>
          <w:rFonts w:ascii="Invesco Interstate Bold" w:hAnsi="Invesco Interstate Bold"/>
          <w:b/>
          <w:bCs/>
          <w:sz w:val="28"/>
          <w:szCs w:val="28"/>
        </w:rPr>
        <w:t xml:space="preserve">Analýza </w:t>
      </w:r>
      <w:r w:rsidR="00BE7D2C">
        <w:rPr>
          <w:rFonts w:ascii="Invesco Interstate Bold" w:hAnsi="Invesco Interstate Bold"/>
          <w:b/>
          <w:bCs/>
          <w:sz w:val="28"/>
          <w:szCs w:val="28"/>
        </w:rPr>
        <w:t xml:space="preserve">společnosti </w:t>
      </w:r>
      <w:proofErr w:type="spellStart"/>
      <w:r w:rsidR="001F7844">
        <w:rPr>
          <w:rFonts w:ascii="Invesco Interstate Bold" w:hAnsi="Invesco Interstate Bold"/>
          <w:b/>
          <w:bCs/>
          <w:sz w:val="28"/>
          <w:szCs w:val="28"/>
        </w:rPr>
        <w:t>Invesc</w:t>
      </w:r>
      <w:r w:rsidR="00BE7D2C">
        <w:rPr>
          <w:rFonts w:ascii="Invesco Interstate Bold" w:hAnsi="Invesco Interstate Bold"/>
          <w:b/>
          <w:bCs/>
          <w:sz w:val="28"/>
          <w:szCs w:val="28"/>
        </w:rPr>
        <w:t>o</w:t>
      </w:r>
      <w:proofErr w:type="spellEnd"/>
      <w:r w:rsidR="001F7844"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BE7D2C">
        <w:rPr>
          <w:rFonts w:ascii="Invesco Interstate Bold" w:hAnsi="Invesco Interstate Bold"/>
          <w:b/>
          <w:bCs/>
          <w:sz w:val="28"/>
          <w:szCs w:val="28"/>
        </w:rPr>
        <w:t xml:space="preserve">Investiční příležitosti v </w:t>
      </w:r>
      <w:proofErr w:type="spellStart"/>
      <w:r w:rsidR="00BE7D2C">
        <w:rPr>
          <w:rFonts w:ascii="Invesco Interstate Bold" w:hAnsi="Invesco Interstate Bold"/>
          <w:b/>
          <w:bCs/>
          <w:sz w:val="28"/>
          <w:szCs w:val="28"/>
        </w:rPr>
        <w:t>metaverzu</w:t>
      </w:r>
      <w:proofErr w:type="spellEnd"/>
    </w:p>
    <w:p w14:paraId="022216AC" w14:textId="25673042" w:rsidR="00170959" w:rsidRDefault="00BE7D2C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jako investiční téma zahrnuje širokou škálu průmyslových odvětví a aplikací a nabízí příležitosti pro společnosti s různou tržní kapitalizací. Neměli bychom se omezovat pouze na tyto oblasti </w:t>
      </w:r>
      <w:r w:rsidRPr="00BE7D2C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jak se tempo vývoje zrychluje, budou se objevovat nové a zajímavé příležitosti v různých oblastech. </w:t>
      </w:r>
    </w:p>
    <w:p w14:paraId="1D2CD44A" w14:textId="60E5195B" w:rsidR="00916408" w:rsidRDefault="00BE7D2C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Užitečným způsobem, jak o tom přemýšlet, je rozdělit hodnotový řetězec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Metaverse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(MVC) do sedmi různých kategorií. V první fázi budování se pravděpodobně objeví největší příležitosti pro společnosti v prvních čtyřech kategoriích: výpočetní technika, hardware, platformy a sítě. S budováním infrastruktury budou pravděpodobně nabývat na významu formy plateb a nástroje pro přenos a standardy umožňující fungování mezi různými digitálními světy.</w:t>
      </w:r>
    </w:p>
    <w:p w14:paraId="500AA082" w14:textId="5B365177" w:rsidR="00BE7D2C" w:rsidRPr="00916408" w:rsidRDefault="00BE7D2C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V následující analýze se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věnuje technice, hardwaru a sítím, které jsou nezbytné pro fungování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mataverza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, a které nabízí řadu </w:t>
      </w:r>
      <w:r w:rsidR="001E57E5">
        <w:rPr>
          <w:rFonts w:ascii="Invesco Interstate Light" w:eastAsiaTheme="minorEastAsia" w:hAnsi="Invesco Interstate Light"/>
          <w:sz w:val="22"/>
          <w:szCs w:val="22"/>
        </w:rPr>
        <w:t>investičních příležitostí.</w:t>
      </w:r>
    </w:p>
    <w:p w14:paraId="11526962" w14:textId="5DA17EA8" w:rsidR="00657939" w:rsidRPr="00F87FC4" w:rsidRDefault="001E57E5" w:rsidP="00657939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Technika</w:t>
      </w:r>
    </w:p>
    <w:p w14:paraId="4CAC9CA0" w14:textId="4DD1D6E9" w:rsidR="00DD76C7" w:rsidRPr="00DD76C7" w:rsidRDefault="001E57E5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Existuje důvod, proč se do hry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Fortnite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může zapojit pouze 100 hráčů a proč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Serie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A pozvala na svou první akci pouze 10 000 fanoušků. Abychom mohli naplno využít potenciál otevřeného a pohlcujícího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>, budeme potřebovat větší výpočetní výkon.</w:t>
      </w:r>
    </w:p>
    <w:p w14:paraId="527B4C12" w14:textId="36E48A20" w:rsidR="00EB4496" w:rsidRDefault="001E57E5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Stále rostoucí výkon počítačů také pomůže snížit náklady na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Mataverzum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>. V posledních letech jsme byli svědky obrovského růstu výkonu, který může zajistit jeden čip, s úměrným poklesem peněžních a časových nákladů, což v konečném důsledku vede k rychlejší a levnější umělé inteligenci. Je snadné pochopit, že dodatečný výpočetní výkon v minulosti podněcoval další technologický pokrok, a proto poptávka v tomto segmentu vždy převyšovala nabídku.</w:t>
      </w:r>
    </w:p>
    <w:p w14:paraId="53E00BC1" w14:textId="55DA2EB4" w:rsidR="00DD76C7" w:rsidRDefault="001E57E5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>Mezi společnostmi, které zde působí, patří výrobci logických prvků, pamětí a zařízení, která tyto produkty podporují. Společnosti zabývající se navrhováním polovodičových čipů, slévárny a firmy vyrábějící související zařízení by mohly těžit z poptávky související s 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Metaverzem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2E3E8D47" w14:textId="30BEA720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D1E314C" w14:textId="2A55ECB4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D6682CB" w14:textId="20B47193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575E759" w14:textId="57391E18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544539D" w14:textId="69488028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D695B5F" w14:textId="6DE30102" w:rsidR="008A2738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38AA9E17" w14:textId="77777777" w:rsidR="008A2738" w:rsidRPr="00D62166" w:rsidRDefault="008A2738" w:rsidP="00DD76C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17557747" w14:textId="39F1E317" w:rsidR="00F87FC4" w:rsidRPr="002E58D1" w:rsidRDefault="001E57E5" w:rsidP="002E58D1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lastRenderedPageBreak/>
        <w:t>Graf: Simulace virtuálního světa vyžaduje větší výpočetní výkon</w:t>
      </w:r>
    </w:p>
    <w:p w14:paraId="2B995BCB" w14:textId="0238E3C5" w:rsidR="001E57E5" w:rsidRDefault="001E57E5" w:rsidP="00EF015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2C9B">
        <w:rPr>
          <w:noProof/>
          <w:lang w:eastAsia="cs-CZ"/>
        </w:rPr>
        <w:drawing>
          <wp:inline distT="0" distB="0" distL="0" distR="0" wp14:anchorId="473FFF10" wp14:editId="3BF62CC9">
            <wp:extent cx="5353050" cy="3054350"/>
            <wp:effectExtent l="0" t="0" r="0" b="635"/>
            <wp:docPr id="1" name="Obrázek 1" descr="g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f_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6A972" w14:textId="1AED3571" w:rsidR="008A2738" w:rsidRPr="008A2738" w:rsidRDefault="008A2738" w:rsidP="008A2738">
      <w:pPr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8A273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proofErr w:type="spellStart"/>
      <w:r w:rsidRPr="008A2738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Pr="008A2738">
        <w:rPr>
          <w:rFonts w:ascii="Invesco Interstate Light" w:eastAsiaTheme="minorEastAsia" w:hAnsi="Invesco Interstate Light"/>
          <w:i/>
          <w:iCs/>
          <w:sz w:val="22"/>
          <w:szCs w:val="22"/>
        </w:rPr>
        <w:t>, NVIDIA, květen 2022.</w:t>
      </w:r>
    </w:p>
    <w:p w14:paraId="341E2A2F" w14:textId="67B43EDA" w:rsidR="00EF0157" w:rsidRPr="00EF0157" w:rsidRDefault="008A2738" w:rsidP="00EF015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Pro představu o rozsahu potřebného pokroku společnost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Nvidia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uvedla, že „grafika potřebná k zajištění filmového zážitku ve VR</w:t>
      </w:r>
      <w:r w:rsidR="00140D34">
        <w:rPr>
          <w:rFonts w:ascii="Invesco Interstate Light" w:eastAsiaTheme="minorEastAsia" w:hAnsi="Invesco Interstate Light"/>
          <w:sz w:val="22"/>
          <w:szCs w:val="22"/>
        </w:rPr>
        <w:t>, v masivním fyzikálně přesném světě pro více hráčů, bude pravděpodobně vyžadovat o tři až čtyři řády vyšší výkon, než je současný výkon našich největších grafických procesorů, plus pokračující pokrok v algoritmech pro renderování, fyzikální umělou inteligenci a animaci.“</w:t>
      </w:r>
    </w:p>
    <w:p w14:paraId="36FD71E3" w14:textId="272BCAC2" w:rsidR="00EF0157" w:rsidRPr="00EF0157" w:rsidRDefault="00140D34" w:rsidP="00F92942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Moorův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zákon zpomaluje výkon centrální procesorové jednotky, což znamená, že pro pokročilé výpočetní aplikace, jako je umělá inteligence a vykreslování virtuálních světů, je stále více zapotřebí grafický procesor. Méně než 10 % serverů má dnes nainstalovaný grafický procesor </w:t>
      </w:r>
      <w:r w:rsidRPr="00140D34">
        <w:rPr>
          <w:rFonts w:ascii="Invesco Interstate Light" w:eastAsiaTheme="minorEastAsia" w:hAnsi="Invesco Interstate Light"/>
          <w:sz w:val="22"/>
          <w:szCs w:val="22"/>
        </w:rPr>
        <w:t>–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toto číslo by se časem mohlo zvýšit na více než 50 %.</w:t>
      </w:r>
    </w:p>
    <w:p w14:paraId="56CB1C3F" w14:textId="1F6C45D2" w:rsidR="00EF0157" w:rsidRPr="00EF0157" w:rsidRDefault="00140D34" w:rsidP="00EF0157">
      <w:pPr>
        <w:spacing w:before="100" w:beforeAutospacing="1" w:after="100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„Zajímavou roli v rozvoji 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Metaverza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bude pravděpodobně hrát také „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edge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computing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“, který umožňuje lokálně zachycovat, ukládat a zpracovávat data v chytrých zařízeních a místních sítích, nikoli v cloudu. Když se nemusí posílat data ke zpracování do cloudu, pomáhá 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edge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computing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řešit problémy s omezenou šířkou pásma a latencí, které jsou kritické pro pohlcující a věrný zážitek,“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vysvětluje Patrick </w:t>
      </w:r>
      <w:proofErr w:type="spellStart"/>
      <w:r w:rsidR="006A34DD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="006A34DD">
        <w:rPr>
          <w:rFonts w:ascii="Invesco Interstate Light" w:eastAsiaTheme="minorEastAsia" w:hAnsi="Invesco Interstate Light"/>
          <w:sz w:val="22"/>
          <w:szCs w:val="22"/>
        </w:rPr>
        <w:t xml:space="preserve">, produktový ředitel společnosti </w:t>
      </w:r>
      <w:proofErr w:type="spellStart"/>
      <w:r w:rsidR="006A34DD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="006A34DD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09CA498A" w14:textId="1E48A73F" w:rsidR="0008515C" w:rsidRPr="006D2FC7" w:rsidRDefault="006A34DD" w:rsidP="006D2FC7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Hardware</w:t>
      </w:r>
    </w:p>
    <w:p w14:paraId="56F08357" w14:textId="77777777" w:rsidR="006A34DD" w:rsidRPr="006A34DD" w:rsidRDefault="006A34DD" w:rsidP="006A34DD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K přístupu do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a k prožívání zážitků z něj budou uživatelé potřebovat řadu zařízení, včetně náhlavních souprav VR/AR, haptických doplňků, chytrých telefonů, počítačů a tabletů, které budou vyžadovat technologické komponenty, jako jsou kamery, senzory a skenery.</w:t>
      </w:r>
    </w:p>
    <w:p w14:paraId="540E7775" w14:textId="7EB516FA" w:rsidR="006A6199" w:rsidRPr="006A6199" w:rsidRDefault="006A34DD" w:rsidP="006A6199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Společnost Meta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Platforms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(dříve Facebook) již do AR a VR značně investovala a vyvíjí náhlavní soupravy </w:t>
      </w:r>
      <w:proofErr w:type="spellStart"/>
      <w:r>
        <w:rPr>
          <w:rFonts w:ascii="Invesco Interstate Light" w:eastAsiaTheme="minorEastAsia" w:hAnsi="Invesco Interstate Light"/>
          <w:sz w:val="22"/>
          <w:szCs w:val="22"/>
        </w:rPr>
        <w:t>Oculus</w:t>
      </w:r>
      <w:proofErr w:type="spellEnd"/>
      <w:r>
        <w:rPr>
          <w:rFonts w:ascii="Invesco Interstate Light" w:eastAsiaTheme="minorEastAsia" w:hAnsi="Invesco Interstate Light"/>
          <w:sz w:val="22"/>
          <w:szCs w:val="22"/>
        </w:rPr>
        <w:t xml:space="preserve"> VR a také brýle pro rozšířenou realitu. V roce 2021 Mark Zuckerberg předpověděl, že brýle pro </w:t>
      </w:r>
      <w:r>
        <w:rPr>
          <w:rFonts w:ascii="Invesco Interstate Light" w:eastAsiaTheme="minorEastAsia" w:hAnsi="Invesco Interstate Light"/>
          <w:sz w:val="22"/>
          <w:szCs w:val="22"/>
        </w:rPr>
        <w:lastRenderedPageBreak/>
        <w:t>rozšířenou realitu budou jednoho dne všude, stejně jako chytré telefony, a naznačil, že pokud se jim podaří dodat před naše oči ekvivalent 120palcové obrazovky, nebudeme v budoucnu potřebovat televizory ani jiné displeje.</w:t>
      </w:r>
    </w:p>
    <w:p w14:paraId="37252A86" w14:textId="192DD493" w:rsidR="006A34DD" w:rsidRPr="006A34DD" w:rsidRDefault="006A34DD" w:rsidP="006A34DD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Je pravda, že to je ještě daleko, protože vývojáři stále pracují na výzvě na vytvoření kompaktních a lehkých náhlavních souprav, které by fungovaly dostatečně dlouho na baterie. V roce 2016 společnost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Goldman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Sachs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předpověděla, že do roku 2020 bude v provozu téměř 100 milionů náhlavních souprav VR/AR, přičemž dnes se jejich počet odhaduje blíže k 10 milionům. Přesto společnost Meta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Platforms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v roce 2021 dodala 10 milionů náhlavních souprav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Oculus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Quest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2.7</w:t>
      </w:r>
      <w:r>
        <w:rPr>
          <w:rFonts w:ascii="Invesco Interstate Light" w:eastAsiaTheme="minorEastAsia" w:hAnsi="Invesco Interstate Light"/>
          <w:sz w:val="22"/>
          <w:szCs w:val="22"/>
        </w:rPr>
        <w:t>.</w:t>
      </w:r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I když zařízení VR/AR ještě nejsou mainstreamová, trh rychle dozrává. IDC odhaduje, že díky rostoucímu počtu scénářů VR/AR aplikací a zlepšujícímu se výkonu hardwaru a softwaru by celosvětové dodávky náhlavních souprav mohly do roku 2025 růst </w:t>
      </w:r>
      <w:proofErr w:type="gramStart"/>
      <w:r w:rsidRPr="006A34DD">
        <w:rPr>
          <w:rFonts w:ascii="Invesco Interstate Light" w:eastAsiaTheme="minorEastAsia" w:hAnsi="Invesco Interstate Light"/>
          <w:sz w:val="22"/>
          <w:szCs w:val="22"/>
        </w:rPr>
        <w:t>41%</w:t>
      </w:r>
      <w:proofErr w:type="gram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tempem na 43,9 milionu kusů.</w:t>
      </w:r>
    </w:p>
    <w:p w14:paraId="7956FFF5" w14:textId="7A29E7EA" w:rsidR="0008515C" w:rsidRPr="006D2FC7" w:rsidRDefault="006A34DD" w:rsidP="006D2FC7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Graf: Celosvětové dodávky náhlavních souprav VR+AR (v milionech)</w:t>
      </w:r>
    </w:p>
    <w:p w14:paraId="39E48094" w14:textId="77777777" w:rsidR="006A34DD" w:rsidRDefault="006A34DD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42C9B">
        <w:rPr>
          <w:noProof/>
          <w:lang w:eastAsia="cs-CZ"/>
        </w:rPr>
        <w:drawing>
          <wp:inline distT="0" distB="0" distL="0" distR="0" wp14:anchorId="6FEB2C4C" wp14:editId="2C0F6129">
            <wp:extent cx="5715000" cy="3105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5AE85" w14:textId="76FA2332" w:rsidR="006A34DD" w:rsidRPr="008A2738" w:rsidRDefault="006A34DD" w:rsidP="006A34DD">
      <w:pPr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8A2738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</w:t>
      </w:r>
      <w:r w:rsidR="007B4153" w:rsidRPr="007B4153">
        <w:rPr>
          <w:rFonts w:ascii="Invesco Interstate Light" w:eastAsiaTheme="minorEastAsia" w:hAnsi="Invesco Interstate Light"/>
          <w:i/>
          <w:iCs/>
          <w:sz w:val="22"/>
          <w:szCs w:val="22"/>
        </w:rPr>
        <w:t>IDC/CLSA, 15. červen 2022.Neexistuje žádná záruka, že se tyto události uskuteční.</w:t>
      </w:r>
    </w:p>
    <w:p w14:paraId="5100F4C8" w14:textId="77777777" w:rsidR="006A34DD" w:rsidRDefault="006A34DD" w:rsidP="00B7256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5C9750A3" w14:textId="55A06966" w:rsidR="006A34DD" w:rsidRDefault="006A34DD" w:rsidP="006A34DD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Meta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Platforms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 mají v oblasti náhlavních souprav VR/AR jistě výhodu prvního tahu s 80% podílem na trhu, proslýchá se ale, že společnost Apple připravuje uvedení podobného produktu na trh v letech 2022/23 a i další společnosti jsou aktivní, včetně společností Google, Microsoft a Sony. Není nereálné očekávat v blízké době průlom, pokud jde o přijetí, přičemž se prosazují i nová zařízení, jako jsou rukavice a body.</w:t>
      </w:r>
    </w:p>
    <w:p w14:paraId="3F0879CC" w14:textId="5A70758C" w:rsidR="00B72569" w:rsidRPr="006A34DD" w:rsidRDefault="006A34DD" w:rsidP="006A34DD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Sítě</w:t>
      </w:r>
    </w:p>
    <w:p w14:paraId="73DD648A" w14:textId="0AEE0E89" w:rsidR="00B72569" w:rsidRDefault="006A34DD" w:rsidP="00CD074E">
      <w:pPr>
        <w:spacing w:after="15"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„Budeme také potřebovat vyšší rychlost připojení, přičemž latence a šířka pásma jsou dvě klíčové oblasti, kde je třeba dosáhnout zlepšení. Současný stav globální internetové infrastruktury není vhodný pro podporu zážitků v </w:t>
      </w:r>
      <w:proofErr w:type="spellStart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>Metaverzu</w:t>
      </w:r>
      <w:proofErr w:type="spellEnd"/>
      <w:r w:rsidRPr="006A34DD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v reálném čase, a to kvůli problémům s šířkou pásma, které mají za následek zpoždění, výpadky paketů a obecnou nespolehlivost sítě,“ </w:t>
      </w:r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říká Tony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Roberts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 xml:space="preserve">, manažer fondů </w:t>
      </w:r>
      <w:proofErr w:type="spellStart"/>
      <w:r w:rsidRPr="006A34DD">
        <w:rPr>
          <w:rFonts w:ascii="Invesco Interstate Light" w:eastAsiaTheme="minorEastAsia" w:hAnsi="Invesco Interstate Light"/>
          <w:sz w:val="22"/>
          <w:szCs w:val="22"/>
        </w:rPr>
        <w:t>Invesca</w:t>
      </w:r>
      <w:proofErr w:type="spellEnd"/>
      <w:r w:rsidRPr="006A34DD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2EAACE16" w14:textId="2E35D6D1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sz w:val="22"/>
          <w:szCs w:val="22"/>
        </w:rPr>
        <w:lastRenderedPageBreak/>
        <w:t>Zavádění sítí 5G pomůže, ale očekává se, že do roku 2025 k nim bude mít přístup pouze 25 % světové populace, přičemž širší pokrytí je nutné zejména na rozvíjejících se trzích v Asii a Africe.</w:t>
      </w:r>
    </w:p>
    <w:p w14:paraId="2C720BA7" w14:textId="062E65C8" w:rsidR="00CD074E" w:rsidRPr="006A34DD" w:rsidRDefault="00CD074E" w:rsidP="00CD074E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>Graf: Přechod na 5G probíhá různou rychlostí, zavedení 5G v roce 2025 (procento připojení)</w:t>
      </w:r>
    </w:p>
    <w:p w14:paraId="4383A587" w14:textId="456EE5F8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54CA7">
        <w:rPr>
          <w:noProof/>
          <w:lang w:eastAsia="cs-CZ"/>
        </w:rPr>
        <w:drawing>
          <wp:inline distT="0" distB="0" distL="0" distR="0" wp14:anchorId="6671F8FE" wp14:editId="3D6A1CF0">
            <wp:extent cx="5759450" cy="2159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28CB" w14:textId="251EDB73" w:rsidR="00CD074E" w:rsidRP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54CA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BD58D3E" wp14:editId="7ADACB98">
            <wp:simplePos x="0" y="0"/>
            <wp:positionH relativeFrom="column">
              <wp:posOffset>95885</wp:posOffset>
            </wp:positionH>
            <wp:positionV relativeFrom="paragraph">
              <wp:posOffset>35560</wp:posOffset>
            </wp:positionV>
            <wp:extent cx="5676900" cy="2063750"/>
            <wp:effectExtent l="0" t="0" r="0" b="0"/>
            <wp:wrapThrough wrapText="bothSides">
              <wp:wrapPolygon edited="0">
                <wp:start x="0" y="0"/>
                <wp:lineTo x="0" y="21334"/>
                <wp:lineTo x="21528" y="21334"/>
                <wp:lineTo x="21528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D0E8C" w14:textId="3E6F16F4" w:rsidR="00D82F78" w:rsidRDefault="00D82F7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6D0578C" w14:textId="41BB6595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D34E928" w14:textId="01E1902E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564F6B9" w14:textId="4D59F206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EA6A05B" w14:textId="2962842C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3755FE7" w14:textId="08ED0B8B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8E0992F" w14:textId="2B6150B4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61DECF" w14:textId="78AD87BC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343D1DA6" w14:textId="27A747F1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77FABD6" w14:textId="57F00EED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F79804D" w14:textId="633BDA85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A3B0446" w14:textId="151FB0BF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8F9A9C1" w14:textId="77777777" w:rsidR="00CD074E" w:rsidRPr="00CD074E" w:rsidRDefault="00CD074E" w:rsidP="00CD074E">
      <w:pPr>
        <w:jc w:val="right"/>
        <w:rPr>
          <w:rFonts w:ascii="Invesco Interstate Light" w:eastAsiaTheme="minorEastAsia" w:hAnsi="Invesco Interstate Light"/>
          <w:i/>
          <w:iCs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Zdroj: GSMA </w:t>
      </w:r>
      <w:proofErr w:type="spellStart"/>
      <w:r w:rsidRPr="00CD074E">
        <w:rPr>
          <w:rFonts w:ascii="Invesco Interstate Light" w:eastAsiaTheme="minorEastAsia" w:hAnsi="Invesco Interstate Light"/>
          <w:i/>
          <w:iCs/>
          <w:sz w:val="22"/>
          <w:szCs w:val="22"/>
        </w:rPr>
        <w:t>Intelligence</w:t>
      </w:r>
      <w:proofErr w:type="spellEnd"/>
      <w:r w:rsidRPr="00CD074E">
        <w:rPr>
          <w:rFonts w:ascii="Invesco Interstate Light" w:eastAsiaTheme="minorEastAsia" w:hAnsi="Invesco Interstate Light"/>
          <w:i/>
          <w:iCs/>
          <w:sz w:val="22"/>
          <w:szCs w:val="22"/>
        </w:rPr>
        <w:t>, 28. únor 2022.*Austrálie, Singapur a Jižní Korea.</w:t>
      </w:r>
    </w:p>
    <w:p w14:paraId="7BCC5584" w14:textId="77777777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326C9657" w14:textId="77777777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sz w:val="22"/>
          <w:szCs w:val="22"/>
        </w:rPr>
        <w:t>Latence (odezva) je zásadní pro zachycení jemných výrazů, minimalizace nepohodlí při zobrazení virtuální reality (VR) a vytvoření realističtějšího uživatelského zážitku. Potřebujeme ji pro komunikaci v reálném čase ve hrách nebo jiných prostředích VR.</w:t>
      </w:r>
    </w:p>
    <w:p w14:paraId="7670CD02" w14:textId="77777777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0723538" w14:textId="4493BFA8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Jediný způsob, jak se mohlo tolik lidí zúčastnit koncertu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Travise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Scotta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ve hře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Fortnite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(kde se hráči plynule přenesli z hlavní mapy hry do jiných virtuálních světů, jako je vesmír a hlubiny oceánu), byl ten, že společnost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Epic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Games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poslala hráčům několik dní před akcí standardní „záplatu“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Fortnite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>. To umožnilo, aby hra na pozadí načetla předem určenou scénu. Dvanáct milionů účastníků také nesdílelo stejný virtuální prostor, ale bylo rozděleno do mnoha světů, z nichž každý měl 100 hráčů, opět kvůli úspoře šířky pásma. Alternativa k tomu vyžaduje podporu cloudového přenosu pro uživatele při jejich rozhodování v reálném čase.</w:t>
      </w:r>
    </w:p>
    <w:p w14:paraId="732C66CC" w14:textId="097086FD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8588C82" w14:textId="77777777" w:rsidR="00CD074E" w:rsidRP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Cloudová datová centra proto budou pravděpodobně klíčovým prvkem podpůrné architektury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, vzhledem k tomu, že v něm bude umístěna umělá inteligence (AI) a aplikace náročné na data, které vyžadují rychlost sítí 5G/6G. Jak již bylo zmíněno, pomůže tomu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edge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computing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, který zmenší vzdálenost mezi </w:t>
      </w:r>
      <w:r w:rsidRPr="00CD074E">
        <w:rPr>
          <w:rFonts w:ascii="Invesco Interstate Light" w:eastAsiaTheme="minorEastAsia" w:hAnsi="Invesco Interstate Light"/>
          <w:sz w:val="22"/>
          <w:szCs w:val="22"/>
        </w:rPr>
        <w:lastRenderedPageBreak/>
        <w:t>uživatelem a zpracovávající sítí, aby se snížila latence a zpoždění. To bude vyžadovat výrazně výkonnější čipy a vylepšená bezpečnostní řešení pro lepší ochranu uživatelských dat.</w:t>
      </w:r>
    </w:p>
    <w:p w14:paraId="3CF75A86" w14:textId="5DD29E2E" w:rsid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BFE95F3" w14:textId="77777777" w:rsidR="00CD074E" w:rsidRPr="00CD074E" w:rsidRDefault="00CD074E" w:rsidP="00CD074E">
      <w:pPr>
        <w:spacing w:line="24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D074E">
        <w:rPr>
          <w:rFonts w:ascii="Invesco Interstate Light" w:eastAsiaTheme="minorEastAsia" w:hAnsi="Invesco Interstate Light"/>
          <w:sz w:val="22"/>
          <w:szCs w:val="22"/>
        </w:rPr>
        <w:t xml:space="preserve">Vlastníci digitální infrastruktury mají zásadní význam pro další rozvoj, který pomůže naplnit příslib </w:t>
      </w:r>
      <w:proofErr w:type="spellStart"/>
      <w:r w:rsidRPr="00CD074E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CD074E">
        <w:rPr>
          <w:rFonts w:ascii="Invesco Interstate Light" w:eastAsiaTheme="minorEastAsia" w:hAnsi="Invesco Interstate Light"/>
          <w:sz w:val="22"/>
          <w:szCs w:val="22"/>
        </w:rPr>
        <w:t>. Deset největších poskytovatelů cloudových služeb vynaložilo v roce 2021 na infrastrukturu datových center dohromady více než 88 miliard dolarů, přičemž rozsah investic bude v následujících letech pravděpodobně dále rychle růst. Objem peněz, které Amazon, Google, Meta a Microsoft investují do datových center, se podle odhadů v roce 2022 zvýší o 25 % a do roku 2026 dosáhne 350 miliard dolarů.</w:t>
      </w:r>
    </w:p>
    <w:p w14:paraId="03AFAB9A" w14:textId="77777777" w:rsidR="00CD074E" w:rsidRDefault="00CD074E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6C1884E8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BF77D56" w14:textId="2C324C9A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5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6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6444C" w14:textId="77777777" w:rsidR="002B7232" w:rsidRDefault="002B7232">
      <w:r>
        <w:separator/>
      </w:r>
    </w:p>
  </w:endnote>
  <w:endnote w:type="continuationSeparator" w:id="0">
    <w:p w14:paraId="5B610B64" w14:textId="77777777" w:rsidR="002B7232" w:rsidRDefault="002B7232">
      <w:r>
        <w:continuationSeparator/>
      </w:r>
    </w:p>
  </w:endnote>
  <w:endnote w:type="continuationNotice" w:id="1">
    <w:p w14:paraId="2F9DC049" w14:textId="77777777" w:rsidR="002B7232" w:rsidRDefault="002B723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8228" w14:textId="77777777" w:rsidR="002B7232" w:rsidRDefault="002B7232">
      <w:r>
        <w:separator/>
      </w:r>
    </w:p>
  </w:footnote>
  <w:footnote w:type="continuationSeparator" w:id="0">
    <w:p w14:paraId="371FD643" w14:textId="77777777" w:rsidR="002B7232" w:rsidRDefault="002B7232">
      <w:r>
        <w:continuationSeparator/>
      </w:r>
    </w:p>
  </w:footnote>
  <w:footnote w:type="continuationNotice" w:id="1">
    <w:p w14:paraId="48A48521" w14:textId="77777777" w:rsidR="002B7232" w:rsidRDefault="002B723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59A5D358">
      <w:rPr>
        <w:rFonts w:ascii="Invesco Interstate Bold" w:hAnsi="Invesco Interstate Bold"/>
        <w:sz w:val="28"/>
        <w:szCs w:val="28"/>
      </w:rPr>
      <w:t>Press</w:t>
    </w:r>
    <w:proofErr w:type="spellEnd"/>
    <w:r w:rsidR="59A5D358">
      <w:rPr>
        <w:rFonts w:ascii="Invesco Interstate Bold" w:hAnsi="Invesco Interstate Bold"/>
        <w:sz w:val="28"/>
        <w:szCs w:val="28"/>
      </w:rPr>
      <w:t xml:space="preserve">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D70"/>
    <w:multiLevelType w:val="multilevel"/>
    <w:tmpl w:val="11820CCE"/>
    <w:numStyleLink w:val="FormatvorlageAufgezhlt"/>
  </w:abstractNum>
  <w:abstractNum w:abstractNumId="8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30B23"/>
    <w:multiLevelType w:val="multilevel"/>
    <w:tmpl w:val="11820CCE"/>
    <w:numStyleLink w:val="FormatvorlageAufgezhlt"/>
  </w:abstractNum>
  <w:abstractNum w:abstractNumId="12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403C3"/>
    <w:multiLevelType w:val="multilevel"/>
    <w:tmpl w:val="11820CCE"/>
    <w:numStyleLink w:val="FormatvorlageAufgezhlt"/>
  </w:abstractNum>
  <w:abstractNum w:abstractNumId="17" w15:restartNumberingAfterBreak="0">
    <w:nsid w:val="6C6C4721"/>
    <w:multiLevelType w:val="multilevel"/>
    <w:tmpl w:val="11820CCE"/>
    <w:numStyleLink w:val="FormatvorlageAufgezhlt"/>
  </w:abstractNum>
  <w:abstractNum w:abstractNumId="18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5380B"/>
    <w:multiLevelType w:val="multilevel"/>
    <w:tmpl w:val="11820CCE"/>
    <w:numStyleLink w:val="FormatvorlageAufgezhlt"/>
  </w:abstractNum>
  <w:abstractNum w:abstractNumId="20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8"/>
  </w:num>
  <w:num w:numId="3" w16cid:durableId="1282105589">
    <w:abstractNumId w:val="14"/>
  </w:num>
  <w:num w:numId="4" w16cid:durableId="1617441895">
    <w:abstractNumId w:val="9"/>
  </w:num>
  <w:num w:numId="5" w16cid:durableId="1267425896">
    <w:abstractNumId w:val="11"/>
  </w:num>
  <w:num w:numId="6" w16cid:durableId="1792238606">
    <w:abstractNumId w:val="16"/>
  </w:num>
  <w:num w:numId="7" w16cid:durableId="190919629">
    <w:abstractNumId w:val="17"/>
  </w:num>
  <w:num w:numId="8" w16cid:durableId="2083285618">
    <w:abstractNumId w:val="1"/>
  </w:num>
  <w:num w:numId="9" w16cid:durableId="1653213567">
    <w:abstractNumId w:val="19"/>
  </w:num>
  <w:num w:numId="10" w16cid:durableId="849561851">
    <w:abstractNumId w:val="7"/>
  </w:num>
  <w:num w:numId="11" w16cid:durableId="1899129255">
    <w:abstractNumId w:val="3"/>
  </w:num>
  <w:num w:numId="12" w16cid:durableId="13484078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3"/>
  </w:num>
  <w:num w:numId="14" w16cid:durableId="2009676695">
    <w:abstractNumId w:val="24"/>
  </w:num>
  <w:num w:numId="15" w16cid:durableId="1629623239">
    <w:abstractNumId w:val="13"/>
  </w:num>
  <w:num w:numId="16" w16cid:durableId="1975720235">
    <w:abstractNumId w:val="4"/>
  </w:num>
  <w:num w:numId="17" w16cid:durableId="103501300">
    <w:abstractNumId w:val="2"/>
  </w:num>
  <w:num w:numId="18" w16cid:durableId="1434014312">
    <w:abstractNumId w:val="15"/>
  </w:num>
  <w:num w:numId="19" w16cid:durableId="832065860">
    <w:abstractNumId w:val="18"/>
  </w:num>
  <w:num w:numId="20" w16cid:durableId="667943464">
    <w:abstractNumId w:val="21"/>
  </w:num>
  <w:num w:numId="21" w16cid:durableId="225343112">
    <w:abstractNumId w:val="20"/>
  </w:num>
  <w:num w:numId="22" w16cid:durableId="1319532336">
    <w:abstractNumId w:val="6"/>
  </w:num>
  <w:num w:numId="23" w16cid:durableId="1341154147">
    <w:abstractNumId w:val="12"/>
  </w:num>
  <w:num w:numId="24" w16cid:durableId="796413596">
    <w:abstractNumId w:val="10"/>
  </w:num>
  <w:num w:numId="25" w16cid:durableId="20109795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4CCA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0D34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0959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7E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232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34DD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53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738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19"/>
    <w:rsid w:val="00A45B2E"/>
    <w:rsid w:val="00A4625A"/>
    <w:rsid w:val="00A467E5"/>
    <w:rsid w:val="00A47776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19B"/>
    <w:rsid w:val="00A615FE"/>
    <w:rsid w:val="00A61BC9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E7D2C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74E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2F78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eliska.krohova@crestcom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3</cp:revision>
  <cp:lastPrinted>2021-02-17T20:24:00Z</cp:lastPrinted>
  <dcterms:created xsi:type="dcterms:W3CDTF">2022-10-27T10:26:00Z</dcterms:created>
  <dcterms:modified xsi:type="dcterms:W3CDTF">2022-10-27T11:07:00Z</dcterms:modified>
</cp:coreProperties>
</file>